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341DD9" w:rsidP="0051382C">
      <w:pPr>
        <w:jc w:val="center"/>
      </w:pPr>
    </w:p>
    <w:p w:rsidR="0051382C" w:rsidRDefault="0051382C" w:rsidP="0051382C">
      <w:pPr>
        <w:jc w:val="center"/>
      </w:pPr>
    </w:p>
    <w:p w:rsidR="0051382C" w:rsidRDefault="0051382C" w:rsidP="0051382C">
      <w:pPr>
        <w:jc w:val="center"/>
      </w:pPr>
    </w:p>
    <w:p w:rsidR="0051382C" w:rsidRDefault="0051382C" w:rsidP="0051382C">
      <w:pPr>
        <w:jc w:val="center"/>
      </w:pPr>
    </w:p>
    <w:p w:rsidR="0051382C" w:rsidRPr="0051382C" w:rsidRDefault="0051382C" w:rsidP="0051382C">
      <w:pPr>
        <w:jc w:val="center"/>
        <w:rPr>
          <w:b/>
        </w:rPr>
      </w:pPr>
      <w:r w:rsidRPr="0051382C">
        <w:rPr>
          <w:b/>
        </w:rPr>
        <w:t>Comprehensive H&amp;P Case Study</w:t>
      </w:r>
    </w:p>
    <w:p w:rsidR="0051382C" w:rsidRDefault="0051382C" w:rsidP="0051382C">
      <w:pPr>
        <w:jc w:val="center"/>
      </w:pPr>
    </w:p>
    <w:p w:rsidR="0051382C" w:rsidRDefault="0051382C" w:rsidP="0051382C">
      <w:pPr>
        <w:jc w:val="center"/>
      </w:pPr>
    </w:p>
    <w:p w:rsidR="0051382C" w:rsidRDefault="0051382C" w:rsidP="0051382C">
      <w:pPr>
        <w:jc w:val="center"/>
      </w:pPr>
      <w:r>
        <w:t>Name</w:t>
      </w:r>
    </w:p>
    <w:p w:rsidR="0051382C" w:rsidRDefault="0051382C" w:rsidP="0051382C">
      <w:pPr>
        <w:jc w:val="center"/>
      </w:pPr>
      <w:r>
        <w:t>Affiliation</w:t>
      </w:r>
    </w:p>
    <w:p w:rsidR="0051382C" w:rsidRDefault="0051382C" w:rsidP="0051382C">
      <w:pPr>
        <w:jc w:val="center"/>
      </w:pPr>
      <w:r>
        <w:t>Date</w:t>
      </w:r>
    </w:p>
    <w:p w:rsidR="0051382C" w:rsidRDefault="0051382C" w:rsidP="0051382C">
      <w:pPr>
        <w:jc w:val="center"/>
      </w:pPr>
    </w:p>
    <w:p w:rsidR="0051382C" w:rsidRDefault="0051382C" w:rsidP="0051382C">
      <w:pPr>
        <w:jc w:val="center"/>
      </w:pPr>
    </w:p>
    <w:p w:rsidR="0051382C" w:rsidRDefault="0051382C" w:rsidP="0051382C">
      <w:pPr>
        <w:jc w:val="center"/>
      </w:pPr>
    </w:p>
    <w:p w:rsidR="0051382C" w:rsidRDefault="0051382C" w:rsidP="0051382C">
      <w:pPr>
        <w:jc w:val="center"/>
      </w:pPr>
    </w:p>
    <w:p w:rsidR="0051382C" w:rsidRDefault="0051382C" w:rsidP="0051382C">
      <w:pPr>
        <w:jc w:val="center"/>
      </w:pPr>
    </w:p>
    <w:p w:rsidR="0051382C" w:rsidRDefault="0051382C" w:rsidP="0051382C">
      <w:pPr>
        <w:jc w:val="center"/>
      </w:pPr>
    </w:p>
    <w:p w:rsidR="0051382C" w:rsidRDefault="0051382C" w:rsidP="0051382C">
      <w:pPr>
        <w:jc w:val="center"/>
      </w:pPr>
    </w:p>
    <w:p w:rsidR="0051382C" w:rsidRDefault="0051382C" w:rsidP="0051382C">
      <w:pPr>
        <w:jc w:val="center"/>
      </w:pPr>
    </w:p>
    <w:p w:rsidR="0051382C" w:rsidRPr="0051382C" w:rsidRDefault="0051382C" w:rsidP="0051382C">
      <w:pPr>
        <w:jc w:val="center"/>
        <w:rPr>
          <w:b/>
        </w:rPr>
      </w:pPr>
      <w:r w:rsidRPr="0051382C">
        <w:rPr>
          <w:b/>
        </w:rPr>
        <w:t>Comprehensive H&amp;P Case Study</w:t>
      </w:r>
    </w:p>
    <w:p w:rsidR="0051382C" w:rsidRDefault="0051382C" w:rsidP="0051382C">
      <w:pPr>
        <w:pStyle w:val="NormalWeb"/>
        <w:spacing w:before="0" w:beforeAutospacing="0"/>
        <w:rPr>
          <w:rFonts w:ascii="Arial" w:hAnsi="Arial" w:cs="Arial"/>
        </w:rPr>
      </w:pPr>
      <w:r w:rsidRPr="0051382C">
        <w:t>1. Does this document meet the CMS guidelines for documentation of a comprehensive history and physical? Why or why not? Be specific</w:t>
      </w:r>
      <w:r>
        <w:rPr>
          <w:rFonts w:ascii="Arial" w:hAnsi="Arial" w:cs="Arial"/>
        </w:rPr>
        <w:t>.</w:t>
      </w:r>
    </w:p>
    <w:p w:rsidR="0051382C" w:rsidRDefault="0051382C" w:rsidP="0051382C">
      <w:pPr>
        <w:pStyle w:val="NormalWeb"/>
        <w:spacing w:before="0" w:beforeAutospacing="0"/>
      </w:pPr>
      <w:r>
        <w:tab/>
        <w:t>Yes. The</w:t>
      </w:r>
      <w:r w:rsidR="00EA341E">
        <w:t xml:space="preserve"> document has adhered to </w:t>
      </w:r>
      <w:r>
        <w:t>the elements of completion and consistency.</w:t>
      </w:r>
    </w:p>
    <w:p w:rsidR="00EA341E" w:rsidRDefault="00EA341E" w:rsidP="00EA341E">
      <w:pPr>
        <w:rPr>
          <w:rFonts w:cs="Times New Roman"/>
          <w:szCs w:val="24"/>
        </w:rPr>
      </w:pPr>
      <w:r>
        <w:t>2.</w:t>
      </w:r>
      <w:r w:rsidRPr="00EA341E">
        <w:t xml:space="preserve"> </w:t>
      </w:r>
      <w:r w:rsidRPr="00EA341E">
        <w:rPr>
          <w:rFonts w:cs="Times New Roman"/>
          <w:szCs w:val="24"/>
        </w:rPr>
        <w:t>Critically analyze the H&amp;P and list any errors</w:t>
      </w:r>
    </w:p>
    <w:p w:rsidR="00EA341E" w:rsidRDefault="00C57AE3" w:rsidP="00EA341E">
      <w:pPr>
        <w:rPr>
          <w:rFonts w:cs="Times New Roman"/>
          <w:szCs w:val="24"/>
        </w:rPr>
      </w:pPr>
      <w:r>
        <w:rPr>
          <w:rFonts w:cs="Times New Roman"/>
          <w:szCs w:val="24"/>
        </w:rPr>
        <w:tab/>
        <w:t>The H&amp;P is correctly documented and there is no noticeable errors.</w:t>
      </w:r>
    </w:p>
    <w:p w:rsidR="00C57AE3" w:rsidRDefault="00C57AE3" w:rsidP="00C57AE3">
      <w:pPr>
        <w:rPr>
          <w:rFonts w:cs="Times New Roman"/>
          <w:szCs w:val="24"/>
        </w:rPr>
      </w:pPr>
      <w:r>
        <w:rPr>
          <w:rFonts w:cs="Times New Roman"/>
          <w:szCs w:val="24"/>
        </w:rPr>
        <w:t>3.</w:t>
      </w:r>
      <w:r w:rsidRPr="00C57AE3">
        <w:rPr>
          <w:rFonts w:cs="Times New Roman"/>
          <w:szCs w:val="24"/>
        </w:rPr>
        <w:t xml:space="preserve"> Did any questions come to mind that you are unable to answer after reading the H&amp;P?</w:t>
      </w:r>
    </w:p>
    <w:p w:rsidR="00C57AE3" w:rsidRDefault="00C57AE3" w:rsidP="00C57AE3">
      <w:pPr>
        <w:rPr>
          <w:rFonts w:cs="Times New Roman"/>
          <w:szCs w:val="24"/>
        </w:rPr>
      </w:pPr>
      <w:r>
        <w:rPr>
          <w:rFonts w:cs="Times New Roman"/>
          <w:szCs w:val="24"/>
        </w:rPr>
        <w:tab/>
        <w:t>Ofcourse.howe</w:t>
      </w:r>
      <w:r w:rsidR="00724E60">
        <w:rPr>
          <w:rFonts w:cs="Times New Roman"/>
          <w:szCs w:val="24"/>
        </w:rPr>
        <w:t>ver</w:t>
      </w:r>
      <w:r>
        <w:rPr>
          <w:rFonts w:cs="Times New Roman"/>
          <w:szCs w:val="24"/>
        </w:rPr>
        <w:t xml:space="preserve"> does review of symptoms differ from the documentation of physical examination?</w:t>
      </w:r>
    </w:p>
    <w:p w:rsidR="00C57AE3" w:rsidRPr="00C57AE3" w:rsidRDefault="00C57AE3" w:rsidP="00C57AE3">
      <w:pPr>
        <w:rPr>
          <w:rFonts w:cs="Times New Roman"/>
          <w:szCs w:val="24"/>
        </w:rPr>
      </w:pPr>
      <w:r>
        <w:rPr>
          <w:rFonts w:cs="Times New Roman"/>
          <w:szCs w:val="24"/>
        </w:rPr>
        <w:t>4.</w:t>
      </w:r>
      <w:r w:rsidRPr="00C57AE3">
        <w:rPr>
          <w:rFonts w:ascii="Arial" w:hAnsi="Arial" w:cs="Arial"/>
        </w:rPr>
        <w:t xml:space="preserve"> </w:t>
      </w:r>
      <w:r w:rsidRPr="00C57AE3">
        <w:rPr>
          <w:rFonts w:cs="Times New Roman"/>
        </w:rPr>
        <w:t>Are the conditions listed in the assessment section reasonably supported by the history? Why or why not? Explain your rationale</w:t>
      </w:r>
    </w:p>
    <w:p w:rsidR="00EA341E" w:rsidRDefault="00C57AE3" w:rsidP="00EA341E">
      <w:pPr>
        <w:rPr>
          <w:rFonts w:cs="Times New Roman"/>
          <w:szCs w:val="24"/>
        </w:rPr>
      </w:pPr>
      <w:r>
        <w:rPr>
          <w:rFonts w:cs="Times New Roman"/>
          <w:szCs w:val="24"/>
        </w:rPr>
        <w:tab/>
        <w:t>The conditions listed in the assessment section are reasonably supported by the history since both aspects are related to the psychology effects of cases for example neglection and drug abuse.</w:t>
      </w:r>
    </w:p>
    <w:p w:rsidR="00C85F17" w:rsidRPr="00C85F17" w:rsidRDefault="00C85F17" w:rsidP="00EA341E">
      <w:pPr>
        <w:rPr>
          <w:rFonts w:cs="Times New Roman"/>
          <w:szCs w:val="24"/>
        </w:rPr>
      </w:pPr>
      <w:r>
        <w:rPr>
          <w:rFonts w:cs="Times New Roman"/>
          <w:szCs w:val="24"/>
        </w:rPr>
        <w:t>5.</w:t>
      </w:r>
      <w:r w:rsidRPr="00C85F17">
        <w:rPr>
          <w:rFonts w:cs="Times New Roman"/>
        </w:rPr>
        <w:t xml:space="preserve"> Did you identify other differential diagnoses or conditions that should be included in the assessment? If so, list them.</w:t>
      </w:r>
    </w:p>
    <w:p w:rsidR="0051382C" w:rsidRDefault="00C85F17" w:rsidP="0051382C">
      <w:pPr>
        <w:rPr>
          <w:rFonts w:cs="Times New Roman"/>
        </w:rPr>
      </w:pPr>
      <w:r>
        <w:rPr>
          <w:rFonts w:cs="Times New Roman"/>
        </w:rPr>
        <w:tab/>
        <w:t>No.</w:t>
      </w:r>
    </w:p>
    <w:p w:rsidR="00C85F17" w:rsidRDefault="00C85F17" w:rsidP="0051382C">
      <w:pPr>
        <w:rPr>
          <w:rFonts w:cs="Times New Roman"/>
        </w:rPr>
      </w:pPr>
      <w:r>
        <w:rPr>
          <w:rFonts w:cs="Times New Roman"/>
        </w:rPr>
        <w:t xml:space="preserve">6. </w:t>
      </w:r>
      <w:r w:rsidRPr="00C85F17">
        <w:rPr>
          <w:rFonts w:cs="Times New Roman"/>
        </w:rPr>
        <w:t xml:space="preserve">List the ICD-10 code for each of the following (go to </w:t>
      </w:r>
      <w:hyperlink r:id="rId7" w:tgtFrame="_blank" w:history="1">
        <w:r w:rsidRPr="00C85F17">
          <w:rPr>
            <w:rStyle w:val="Hyperlink"/>
            <w:rFonts w:cs="Times New Roman"/>
            <w:color w:val="auto"/>
          </w:rPr>
          <w:t>CMS.gov</w:t>
        </w:r>
      </w:hyperlink>
      <w:r w:rsidRPr="00C85F17">
        <w:rPr>
          <w:rFonts w:cs="Times New Roman"/>
        </w:rPr>
        <w:t xml:space="preserve"> and search for the ICD-10 Codes):</w:t>
      </w:r>
    </w:p>
    <w:p w:rsidR="007148BA" w:rsidRDefault="00C85F17" w:rsidP="00C85F17">
      <w:pPr>
        <w:pStyle w:val="NormalWeb"/>
        <w:spacing w:before="0" w:beforeAutospacing="0"/>
      </w:pPr>
      <w:r w:rsidRPr="00C85F17">
        <w:t>Moderate persistent asthm</w:t>
      </w:r>
      <w:r w:rsidR="007148BA">
        <w:t>a with (acute) exacerbation: J45.41</w:t>
      </w:r>
    </w:p>
    <w:p w:rsidR="00C85F17" w:rsidRPr="00C85F17" w:rsidRDefault="00C85F17" w:rsidP="00C85F17">
      <w:pPr>
        <w:pStyle w:val="NormalWeb"/>
        <w:spacing w:before="0" w:beforeAutospacing="0"/>
      </w:pPr>
      <w:r w:rsidRPr="00C85F17">
        <w:t>Pneumonia, unspecified organism:  </w:t>
      </w:r>
      <w:r w:rsidR="007148BA">
        <w:t>J18.9</w:t>
      </w:r>
    </w:p>
    <w:p w:rsidR="00C85F17" w:rsidRPr="00C85F17" w:rsidRDefault="00C85F17" w:rsidP="00C85F17">
      <w:pPr>
        <w:pStyle w:val="NormalWeb"/>
        <w:spacing w:before="0" w:beforeAutospacing="0"/>
      </w:pPr>
      <w:r w:rsidRPr="00C85F17">
        <w:t xml:space="preserve">Essential (primary) hypertension: </w:t>
      </w:r>
      <w:r w:rsidR="007148BA">
        <w:t>I10</w:t>
      </w:r>
    </w:p>
    <w:p w:rsidR="00C85F17" w:rsidRPr="00C85F17" w:rsidRDefault="00C85F17" w:rsidP="00C85F17">
      <w:pPr>
        <w:pStyle w:val="NormalWeb"/>
        <w:spacing w:before="0" w:beforeAutospacing="0"/>
      </w:pPr>
      <w:r w:rsidRPr="00C85F17">
        <w:rPr>
          <w:rStyle w:val="mceitemhiddenspellword"/>
        </w:rPr>
        <w:t>Hyperlipidemia</w:t>
      </w:r>
      <w:r w:rsidR="007148BA">
        <w:t>, unspecified: E78.5</w:t>
      </w:r>
    </w:p>
    <w:p w:rsidR="00C85F17" w:rsidRDefault="007148BA" w:rsidP="00C85F17">
      <w:pPr>
        <w:rPr>
          <w:rFonts w:cs="Times New Roman"/>
        </w:rPr>
      </w:pPr>
      <w:r>
        <w:rPr>
          <w:rFonts w:cs="Times New Roman"/>
        </w:rPr>
        <w:t>Obesity</w:t>
      </w:r>
      <w:r w:rsidR="00724E60">
        <w:rPr>
          <w:rFonts w:cs="Times New Roman"/>
        </w:rPr>
        <w:t>: E66</w:t>
      </w:r>
    </w:p>
    <w:p w:rsidR="007148BA" w:rsidRDefault="007148BA" w:rsidP="00C85F17">
      <w:pPr>
        <w:rPr>
          <w:rFonts w:cs="Times New Roman"/>
        </w:rPr>
      </w:pPr>
      <w:r>
        <w:rPr>
          <w:rFonts w:cs="Times New Roman"/>
        </w:rPr>
        <w:t xml:space="preserve">7. </w:t>
      </w:r>
      <w:r w:rsidRPr="007148BA">
        <w:rPr>
          <w:rFonts w:cs="Times New Roman"/>
        </w:rPr>
        <w:t xml:space="preserve"> Is it appropriate to include the ICD-10 code </w:t>
      </w:r>
      <w:r w:rsidR="00B72BCF">
        <w:rPr>
          <w:rFonts w:cs="Times New Roman"/>
        </w:rPr>
        <w:t xml:space="preserve">for pneumonia when billing for </w:t>
      </w:r>
      <w:r w:rsidRPr="007148BA">
        <w:rPr>
          <w:rFonts w:cs="Times New Roman"/>
        </w:rPr>
        <w:t xml:space="preserve">this visit? Why or why </w:t>
      </w:r>
      <w:r w:rsidR="00724E60" w:rsidRPr="007148BA">
        <w:rPr>
          <w:rFonts w:cs="Times New Roman"/>
        </w:rPr>
        <w:t>not</w:t>
      </w:r>
      <w:r w:rsidR="00724E60">
        <w:rPr>
          <w:rFonts w:cs="Times New Roman"/>
        </w:rPr>
        <w:t>? Yes</w:t>
      </w:r>
      <w:r w:rsidR="00B72BCF">
        <w:rPr>
          <w:rFonts w:cs="Times New Roman"/>
        </w:rPr>
        <w:t xml:space="preserve"> there is a concrete relationship between pneumonia and several medical history for example </w:t>
      </w:r>
      <w:r w:rsidR="0065481F">
        <w:rPr>
          <w:rFonts w:cs="Times New Roman"/>
        </w:rPr>
        <w:t>being allergic to codeine</w:t>
      </w:r>
      <w:r w:rsidR="00B72BCF">
        <w:rPr>
          <w:rFonts w:cs="Times New Roman"/>
        </w:rPr>
        <w:t>.</w:t>
      </w:r>
    </w:p>
    <w:p w:rsidR="00B72BCF" w:rsidRPr="00B72BCF" w:rsidRDefault="00B72BCF" w:rsidP="00B72BCF">
      <w:pPr>
        <w:pStyle w:val="NormalWeb"/>
        <w:spacing w:before="0" w:beforeAutospacing="0"/>
      </w:pPr>
      <w:r>
        <w:t>8.</w:t>
      </w:r>
      <w:r w:rsidRPr="00B72BCF">
        <w:t xml:space="preserve"> Is the plan reasonable based on the assessments listed? Why or why not?</w:t>
      </w:r>
    </w:p>
    <w:p w:rsidR="00B72BCF" w:rsidRDefault="0065481F" w:rsidP="00C85F17">
      <w:pPr>
        <w:rPr>
          <w:rFonts w:cs="Times New Roman"/>
        </w:rPr>
      </w:pPr>
      <w:r>
        <w:rPr>
          <w:rFonts w:cs="Times New Roman"/>
        </w:rPr>
        <w:t>Yes there is reasonable assessment since every valuation in considered while making the plan.</w:t>
      </w:r>
    </w:p>
    <w:p w:rsidR="0065481F" w:rsidRDefault="0065481F" w:rsidP="00C85F17">
      <w:pPr>
        <w:rPr>
          <w:rFonts w:cs="Times New Roman"/>
        </w:rPr>
      </w:pPr>
      <w:r>
        <w:rPr>
          <w:rFonts w:cs="Times New Roman"/>
        </w:rPr>
        <w:t xml:space="preserve">9. </w:t>
      </w:r>
      <w:r w:rsidR="006A3A6E" w:rsidRPr="006A3A6E">
        <w:rPr>
          <w:rFonts w:cs="Times New Roman"/>
        </w:rPr>
        <w:t>List 3 patient education strategies r</w:t>
      </w:r>
      <w:r w:rsidR="006A3A6E" w:rsidRPr="006A3A6E">
        <w:rPr>
          <w:rStyle w:val="mceitemhiddenspellword"/>
          <w:rFonts w:cs="Times New Roman"/>
        </w:rPr>
        <w:t>elevant</w:t>
      </w:r>
      <w:r w:rsidR="006A3A6E" w:rsidRPr="006A3A6E">
        <w:rPr>
          <w:rFonts w:cs="Times New Roman"/>
        </w:rPr>
        <w:t xml:space="preserve"> to the case study including specific medication teaching. Include references</w:t>
      </w:r>
    </w:p>
    <w:p w:rsidR="00724E60" w:rsidRPr="00724E60" w:rsidRDefault="00724E60" w:rsidP="00724E60">
      <w:pPr>
        <w:jc w:val="center"/>
        <w:rPr>
          <w:rFonts w:cs="Times New Roman"/>
          <w:b/>
        </w:rPr>
      </w:pPr>
      <w:r w:rsidRPr="00724E60">
        <w:rPr>
          <w:rFonts w:cs="Times New Roman"/>
          <w:b/>
        </w:rPr>
        <w:t>Leveraging Technology</w:t>
      </w:r>
    </w:p>
    <w:p w:rsidR="00724E60" w:rsidRDefault="00724E60" w:rsidP="00C85F17">
      <w:pPr>
        <w:rPr>
          <w:rFonts w:cs="Times New Roman"/>
        </w:rPr>
      </w:pPr>
      <w:r>
        <w:rPr>
          <w:rFonts w:cs="Times New Roman"/>
        </w:rPr>
        <w:tab/>
      </w:r>
      <w:r w:rsidR="002C072D">
        <w:rPr>
          <w:rFonts w:cs="Times New Roman"/>
        </w:rPr>
        <w:t xml:space="preserve">Patient education is a </w:t>
      </w:r>
      <w:r w:rsidR="00FB19D1">
        <w:rPr>
          <w:rFonts w:cs="Times New Roman"/>
        </w:rPr>
        <w:t>methodological, individualized</w:t>
      </w:r>
      <w:r w:rsidR="002C072D">
        <w:rPr>
          <w:rFonts w:cs="Times New Roman"/>
        </w:rPr>
        <w:t xml:space="preserve"> and </w:t>
      </w:r>
      <w:r w:rsidR="00FB19D1">
        <w:rPr>
          <w:rFonts w:cs="Times New Roman"/>
        </w:rPr>
        <w:t>structured process</w:t>
      </w:r>
      <w:r w:rsidR="002C072D">
        <w:rPr>
          <w:rFonts w:cs="Times New Roman"/>
        </w:rPr>
        <w:t xml:space="preserve"> utilized in the evaluation and conveyance knowledge to patients and also their families </w:t>
      </w:r>
      <w:r w:rsidR="00FB19D1">
        <w:rPr>
          <w:rFonts w:cs="Times New Roman"/>
        </w:rPr>
        <w:t>that</w:t>
      </w:r>
      <w:r w:rsidR="002C072D">
        <w:rPr>
          <w:rFonts w:cs="Times New Roman"/>
        </w:rPr>
        <w:t xml:space="preserve"> will help in altering the </w:t>
      </w:r>
      <w:r w:rsidR="00FB19D1">
        <w:rPr>
          <w:rFonts w:cs="Times New Roman"/>
        </w:rPr>
        <w:t>patient’s</w:t>
      </w:r>
      <w:r w:rsidR="002C072D">
        <w:rPr>
          <w:rFonts w:cs="Times New Roman"/>
        </w:rPr>
        <w:t xml:space="preserve"> behavior to improve their health </w:t>
      </w:r>
      <w:r w:rsidR="00FB19D1">
        <w:rPr>
          <w:rFonts w:cs="Times New Roman"/>
        </w:rPr>
        <w:t>status. Such</w:t>
      </w:r>
      <w:r w:rsidR="002C072D">
        <w:rPr>
          <w:rFonts w:cs="Times New Roman"/>
        </w:rPr>
        <w:t xml:space="preserve"> an aspect is an important component for healthcare </w:t>
      </w:r>
      <w:r w:rsidR="00FB19D1">
        <w:rPr>
          <w:rFonts w:cs="Times New Roman"/>
        </w:rPr>
        <w:t>personnel</w:t>
      </w:r>
      <w:r w:rsidR="002C072D">
        <w:rPr>
          <w:rFonts w:cs="Times New Roman"/>
        </w:rPr>
        <w:t xml:space="preserve"> and easily facilitates </w:t>
      </w:r>
      <w:r w:rsidR="00FB19D1">
        <w:rPr>
          <w:rFonts w:cs="Times New Roman"/>
        </w:rPr>
        <w:t>patient</w:t>
      </w:r>
      <w:r w:rsidR="002C072D">
        <w:rPr>
          <w:rFonts w:cs="Times New Roman"/>
        </w:rPr>
        <w:t xml:space="preserve">-clinical </w:t>
      </w:r>
      <w:r w:rsidR="00FB19D1">
        <w:rPr>
          <w:rFonts w:cs="Times New Roman"/>
        </w:rPr>
        <w:t>communication. Patient</w:t>
      </w:r>
      <w:r w:rsidR="002C072D">
        <w:rPr>
          <w:rFonts w:cs="Times New Roman"/>
        </w:rPr>
        <w:t xml:space="preserve"> education helps also in engaging patient </w:t>
      </w:r>
      <w:r w:rsidR="00FB19D1">
        <w:rPr>
          <w:rFonts w:cs="Times New Roman"/>
        </w:rPr>
        <w:t>cooperation, clinical</w:t>
      </w:r>
      <w:r w:rsidR="002C072D">
        <w:rPr>
          <w:rFonts w:cs="Times New Roman"/>
        </w:rPr>
        <w:t xml:space="preserve"> recommendation and also results to effective shared </w:t>
      </w:r>
      <w:r w:rsidR="00FB19D1">
        <w:rPr>
          <w:rFonts w:cs="Times New Roman"/>
        </w:rPr>
        <w:t>decisions. Clinical</w:t>
      </w:r>
      <w:r w:rsidR="002C072D">
        <w:rPr>
          <w:rFonts w:cs="Times New Roman"/>
        </w:rPr>
        <w:t xml:space="preserve"> research shows that patients who </w:t>
      </w:r>
      <w:r w:rsidR="00FB19D1">
        <w:rPr>
          <w:rFonts w:cs="Times New Roman"/>
        </w:rPr>
        <w:t>participate in patient education are more likely to understand and cooperate in their illness process.</w:t>
      </w:r>
      <w:r w:rsidR="00741AE7">
        <w:rPr>
          <w:rFonts w:cs="Times New Roman"/>
        </w:rPr>
        <w:t xml:space="preserve">as a result majority firms in healthcare industry are implementing different strategies to include patients in medical </w:t>
      </w:r>
      <w:r w:rsidR="0058371B">
        <w:rPr>
          <w:rFonts w:cs="Times New Roman"/>
        </w:rPr>
        <w:t>decisions. Patient</w:t>
      </w:r>
      <w:r w:rsidR="00741AE7">
        <w:rPr>
          <w:rFonts w:cs="Times New Roman"/>
        </w:rPr>
        <w:t xml:space="preserve"> participation is an aspect that results to patient’s </w:t>
      </w:r>
      <w:r w:rsidR="00580561">
        <w:rPr>
          <w:rFonts w:cs="Times New Roman"/>
        </w:rPr>
        <w:t>motivation, skills</w:t>
      </w:r>
      <w:r w:rsidR="00741AE7">
        <w:rPr>
          <w:rFonts w:cs="Times New Roman"/>
        </w:rPr>
        <w:t xml:space="preserve"> and knowledge and ability in managing diverse </w:t>
      </w:r>
      <w:r w:rsidR="00580561">
        <w:rPr>
          <w:rFonts w:cs="Times New Roman"/>
        </w:rPr>
        <w:t>diseases. Patient</w:t>
      </w:r>
      <w:r w:rsidR="00741AE7">
        <w:rPr>
          <w:rFonts w:cs="Times New Roman"/>
        </w:rPr>
        <w:t xml:space="preserve"> engagement incorporates the activation period with interventions aimed improving patient’s behaviors about their health choices</w:t>
      </w:r>
      <w:r w:rsidR="0043725B">
        <w:rPr>
          <w:rFonts w:cs="Times New Roman"/>
        </w:rPr>
        <w:t xml:space="preserve"> </w:t>
      </w:r>
      <w:r w:rsidR="0043725B" w:rsidRPr="0043725B">
        <w:rPr>
          <w:rFonts w:cs="Times New Roman"/>
          <w:szCs w:val="24"/>
          <w:shd w:val="clear" w:color="auto" w:fill="FFFFFF"/>
        </w:rPr>
        <w:t>(Gonzales et al., 2013)</w:t>
      </w:r>
      <w:r w:rsidR="00741AE7" w:rsidRPr="0043725B">
        <w:rPr>
          <w:rFonts w:cs="Times New Roman"/>
          <w:szCs w:val="24"/>
        </w:rPr>
        <w:t>.</w:t>
      </w:r>
    </w:p>
    <w:p w:rsidR="0090295D" w:rsidRDefault="004B2BD7" w:rsidP="004B2BD7">
      <w:pPr>
        <w:ind w:firstLine="720"/>
        <w:rPr>
          <w:rFonts w:cs="Times New Roman"/>
        </w:rPr>
      </w:pPr>
      <w:r>
        <w:rPr>
          <w:rFonts w:cs="Times New Roman"/>
        </w:rPr>
        <w:t xml:space="preserve">The improvement of patient experience is the primary theme and point for healthcare organization.it is normal of for </w:t>
      </w:r>
      <w:r w:rsidR="0058371B">
        <w:rPr>
          <w:rFonts w:cs="Times New Roman"/>
        </w:rPr>
        <w:t>clients</w:t>
      </w:r>
      <w:r>
        <w:rPr>
          <w:rFonts w:cs="Times New Roman"/>
        </w:rPr>
        <w:t xml:space="preserve"> of diverse ages to attend their doctor appointment with website </w:t>
      </w:r>
      <w:r w:rsidR="0058371B">
        <w:rPr>
          <w:rFonts w:cs="Times New Roman"/>
        </w:rPr>
        <w:t>information. Their</w:t>
      </w:r>
      <w:r>
        <w:rPr>
          <w:rFonts w:cs="Times New Roman"/>
        </w:rPr>
        <w:t xml:space="preserve"> primary objective is to seek professional advice from </w:t>
      </w:r>
      <w:r w:rsidR="0058371B">
        <w:rPr>
          <w:rFonts w:cs="Times New Roman"/>
        </w:rPr>
        <w:t>physician. Such</w:t>
      </w:r>
      <w:r>
        <w:rPr>
          <w:rFonts w:cs="Times New Roman"/>
        </w:rPr>
        <w:t xml:space="preserve"> web-based information from patients have increased the need for clinical officers to stay updated </w:t>
      </w:r>
      <w:r w:rsidR="00B83CC8">
        <w:rPr>
          <w:rFonts w:cs="Times New Roman"/>
        </w:rPr>
        <w:t xml:space="preserve">on educational technologies to meet </w:t>
      </w:r>
      <w:r w:rsidR="0058371B">
        <w:rPr>
          <w:rFonts w:cs="Times New Roman"/>
        </w:rPr>
        <w:t>client’s</w:t>
      </w:r>
      <w:r w:rsidR="00B83CC8">
        <w:rPr>
          <w:rFonts w:cs="Times New Roman"/>
        </w:rPr>
        <w:t xml:space="preserve"> demands.in </w:t>
      </w:r>
      <w:r w:rsidR="0058371B">
        <w:rPr>
          <w:rFonts w:cs="Times New Roman"/>
        </w:rPr>
        <w:t>today’s</w:t>
      </w:r>
      <w:r w:rsidR="00B83CC8">
        <w:rPr>
          <w:rFonts w:cs="Times New Roman"/>
        </w:rPr>
        <w:t xml:space="preserve"> world surgery </w:t>
      </w:r>
      <w:r w:rsidR="0058371B">
        <w:rPr>
          <w:rFonts w:cs="Times New Roman"/>
        </w:rPr>
        <w:t>recovery, hospitalization</w:t>
      </w:r>
      <w:r w:rsidR="00B83CC8">
        <w:rPr>
          <w:rFonts w:cs="Times New Roman"/>
        </w:rPr>
        <w:t xml:space="preserve"> of treatment of disease are stressful situations handled by the </w:t>
      </w:r>
      <w:r w:rsidR="0058371B">
        <w:rPr>
          <w:rFonts w:cs="Times New Roman"/>
        </w:rPr>
        <w:t>patients. Besides</w:t>
      </w:r>
      <w:r w:rsidR="00B83CC8">
        <w:rPr>
          <w:rFonts w:cs="Times New Roman"/>
        </w:rPr>
        <w:t xml:space="preserve"> it is challenging to comprehend massive pieces and </w:t>
      </w:r>
      <w:r w:rsidR="0058371B">
        <w:rPr>
          <w:rFonts w:cs="Times New Roman"/>
        </w:rPr>
        <w:t>instructions of</w:t>
      </w:r>
      <w:r w:rsidR="00B83CC8">
        <w:rPr>
          <w:rFonts w:cs="Times New Roman"/>
        </w:rPr>
        <w:t xml:space="preserve"> data and information </w:t>
      </w:r>
      <w:r w:rsidR="0058371B">
        <w:rPr>
          <w:rFonts w:cs="Times New Roman"/>
        </w:rPr>
        <w:t>about</w:t>
      </w:r>
      <w:r w:rsidR="00B83CC8">
        <w:rPr>
          <w:rFonts w:cs="Times New Roman"/>
        </w:rPr>
        <w:t xml:space="preserve"> sophisticated medical </w:t>
      </w:r>
      <w:r w:rsidR="0058371B">
        <w:rPr>
          <w:rFonts w:cs="Times New Roman"/>
        </w:rPr>
        <w:t>situations</w:t>
      </w:r>
      <w:r w:rsidR="00B83CC8">
        <w:rPr>
          <w:rFonts w:cs="Times New Roman"/>
        </w:rPr>
        <w:t xml:space="preserve"> when the client’s mind is </w:t>
      </w:r>
      <w:r w:rsidR="0058371B">
        <w:rPr>
          <w:rFonts w:cs="Times New Roman"/>
        </w:rPr>
        <w:t>weak. However</w:t>
      </w:r>
      <w:r w:rsidR="00B83CC8">
        <w:rPr>
          <w:rFonts w:cs="Times New Roman"/>
        </w:rPr>
        <w:t xml:space="preserve"> the introduction of video-based patient education makes it possible to deliver information to worldwide </w:t>
      </w:r>
      <w:r w:rsidR="0058371B">
        <w:rPr>
          <w:rFonts w:cs="Times New Roman"/>
        </w:rPr>
        <w:t>conveniently. Such</w:t>
      </w:r>
      <w:r w:rsidR="00B83CC8">
        <w:rPr>
          <w:rFonts w:cs="Times New Roman"/>
        </w:rPr>
        <w:t xml:space="preserve"> videos offer massive teaching messages at home or in-</w:t>
      </w:r>
      <w:r w:rsidR="0058371B">
        <w:rPr>
          <w:rFonts w:cs="Times New Roman"/>
        </w:rPr>
        <w:t>facility. Such</w:t>
      </w:r>
      <w:r w:rsidR="00B83CC8">
        <w:rPr>
          <w:rFonts w:cs="Times New Roman"/>
        </w:rPr>
        <w:t xml:space="preserve"> convenience makes it easier for clients to educate themselves thus </w:t>
      </w:r>
      <w:r w:rsidR="0058371B">
        <w:rPr>
          <w:rFonts w:cs="Times New Roman"/>
        </w:rPr>
        <w:t>creating better</w:t>
      </w:r>
      <w:r w:rsidR="00B83CC8">
        <w:rPr>
          <w:rFonts w:cs="Times New Roman"/>
        </w:rPr>
        <w:t xml:space="preserve"> level of engagement and patient experience.</w:t>
      </w:r>
    </w:p>
    <w:p w:rsidR="004B2BD7" w:rsidRPr="0090295D" w:rsidRDefault="0090295D" w:rsidP="0090295D">
      <w:pPr>
        <w:ind w:firstLine="720"/>
        <w:jc w:val="center"/>
        <w:rPr>
          <w:rFonts w:cs="Times New Roman"/>
          <w:b/>
        </w:rPr>
      </w:pPr>
      <w:r w:rsidRPr="0090295D">
        <w:rPr>
          <w:rFonts w:cs="Times New Roman"/>
          <w:b/>
        </w:rPr>
        <w:t>Communicating To Patients Using Their Own Language</w:t>
      </w:r>
    </w:p>
    <w:p w:rsidR="0065481F" w:rsidRDefault="0090295D" w:rsidP="00B65DEA">
      <w:pPr>
        <w:ind w:firstLine="720"/>
        <w:rPr>
          <w:rFonts w:cs="Times New Roman"/>
        </w:rPr>
      </w:pPr>
      <w:r>
        <w:rPr>
          <w:rFonts w:cs="Times New Roman"/>
        </w:rPr>
        <w:t xml:space="preserve">Language barrier is one of the largest barriers to effective patient-doctor </w:t>
      </w:r>
      <w:r w:rsidR="00842E78">
        <w:rPr>
          <w:rFonts w:cs="Times New Roman"/>
        </w:rPr>
        <w:t>communication. Statistics</w:t>
      </w:r>
      <w:r>
        <w:rPr>
          <w:rFonts w:cs="Times New Roman"/>
        </w:rPr>
        <w:t xml:space="preserve"> from U.S.A proves that </w:t>
      </w:r>
      <w:r w:rsidR="00842E78">
        <w:rPr>
          <w:rFonts w:cs="Times New Roman"/>
        </w:rPr>
        <w:t>more</w:t>
      </w:r>
      <w:r>
        <w:rPr>
          <w:rFonts w:cs="Times New Roman"/>
        </w:rPr>
        <w:t xml:space="preserve"> than 65 million residents speak other languages </w:t>
      </w:r>
      <w:r w:rsidR="00842E78">
        <w:rPr>
          <w:rFonts w:cs="Times New Roman"/>
        </w:rPr>
        <w:t>different</w:t>
      </w:r>
      <w:r>
        <w:rPr>
          <w:rFonts w:cs="Times New Roman"/>
        </w:rPr>
        <w:t xml:space="preserve"> from </w:t>
      </w:r>
      <w:r w:rsidR="00842E78">
        <w:rPr>
          <w:rFonts w:cs="Times New Roman"/>
        </w:rPr>
        <w:t>English. The</w:t>
      </w:r>
      <w:r w:rsidR="00B65DEA">
        <w:rPr>
          <w:rFonts w:cs="Times New Roman"/>
        </w:rPr>
        <w:t xml:space="preserve"> </w:t>
      </w:r>
      <w:r w:rsidR="00842E78">
        <w:rPr>
          <w:rFonts w:cs="Times New Roman"/>
        </w:rPr>
        <w:t>provision</w:t>
      </w:r>
      <w:r w:rsidR="00B65DEA">
        <w:rPr>
          <w:rFonts w:cs="Times New Roman"/>
        </w:rPr>
        <w:t xml:space="preserve"> of medical services to </w:t>
      </w:r>
      <w:r w:rsidR="00842E78">
        <w:rPr>
          <w:rFonts w:cs="Times New Roman"/>
        </w:rPr>
        <w:t>non-English</w:t>
      </w:r>
      <w:r w:rsidR="00B65DEA">
        <w:rPr>
          <w:rFonts w:cs="Times New Roman"/>
        </w:rPr>
        <w:t xml:space="preserve"> speakers requires educational materials specifically in their own </w:t>
      </w:r>
      <w:r w:rsidR="00842E78">
        <w:rPr>
          <w:rFonts w:cs="Times New Roman"/>
        </w:rPr>
        <w:t>language. Language</w:t>
      </w:r>
      <w:r w:rsidR="00B65DEA">
        <w:rPr>
          <w:rFonts w:cs="Times New Roman"/>
        </w:rPr>
        <w:t xml:space="preserve"> translation is also critical in improving patient’s care. Communication using the patient’s language make the individual to feel respected and valued by their care </w:t>
      </w:r>
      <w:r w:rsidR="00B65DEA" w:rsidRPr="0043725B">
        <w:rPr>
          <w:rFonts w:cs="Times New Roman"/>
          <w:szCs w:val="24"/>
        </w:rPr>
        <w:t>personnel</w:t>
      </w:r>
      <w:r w:rsidR="0043725B" w:rsidRPr="0043725B">
        <w:rPr>
          <w:rFonts w:cs="Times New Roman"/>
          <w:szCs w:val="24"/>
        </w:rPr>
        <w:t xml:space="preserve"> </w:t>
      </w:r>
      <w:r w:rsidR="0043725B" w:rsidRPr="0043725B">
        <w:rPr>
          <w:rFonts w:cs="Times New Roman"/>
          <w:szCs w:val="24"/>
          <w:shd w:val="clear" w:color="auto" w:fill="FFFFFF"/>
        </w:rPr>
        <w:t>(Wei, 2015)</w:t>
      </w:r>
      <w:r w:rsidR="00B65DEA" w:rsidRPr="0043725B">
        <w:rPr>
          <w:rFonts w:cs="Times New Roman"/>
          <w:szCs w:val="24"/>
        </w:rPr>
        <w:t>.</w:t>
      </w:r>
    </w:p>
    <w:p w:rsidR="00B65DEA" w:rsidRDefault="00B65DEA" w:rsidP="00B65DEA">
      <w:pPr>
        <w:jc w:val="center"/>
        <w:rPr>
          <w:rFonts w:cs="Times New Roman"/>
          <w:b/>
        </w:rPr>
      </w:pPr>
      <w:r w:rsidRPr="00B65DEA">
        <w:rPr>
          <w:rFonts w:cs="Times New Roman"/>
          <w:b/>
        </w:rPr>
        <w:t>Offering Educational Material to Patients</w:t>
      </w:r>
    </w:p>
    <w:p w:rsidR="00B65DEA" w:rsidRDefault="00B65DEA" w:rsidP="00B65DEA">
      <w:pPr>
        <w:rPr>
          <w:rFonts w:cs="Times New Roman"/>
        </w:rPr>
      </w:pPr>
      <w:r>
        <w:rPr>
          <w:rFonts w:cs="Times New Roman"/>
          <w:b/>
        </w:rPr>
        <w:tab/>
      </w:r>
      <w:r w:rsidR="00842E78">
        <w:rPr>
          <w:rFonts w:cs="Times New Roman"/>
        </w:rPr>
        <w:t xml:space="preserve">There are several tools clinicians can utilize to improve patient education from paper handouts to digital technologies.to ensure that such tools are effective care providers must work with the clients to determine which tools meets the patient prefferences.patient education material includes podcasts,demonstrations,youtube videos among others. Care provider and the care providers should consider how the patient will learn effectively. </w:t>
      </w:r>
    </w:p>
    <w:p w:rsidR="008B629B" w:rsidRPr="008B629B" w:rsidRDefault="008B629B" w:rsidP="008B629B">
      <w:pPr>
        <w:pStyle w:val="NormalWeb"/>
        <w:spacing w:before="0" w:beforeAutospacing="0"/>
      </w:pPr>
      <w:r w:rsidRPr="008B629B">
        <w:t xml:space="preserve">10. List health promotion recommendations from AHRQ according to age/gender/conditions. Cite your references. </w:t>
      </w:r>
    </w:p>
    <w:p w:rsidR="00842E78" w:rsidRDefault="00937655" w:rsidP="00B65DEA">
      <w:pPr>
        <w:rPr>
          <w:rFonts w:cs="Times New Roman"/>
        </w:rPr>
      </w:pPr>
      <w:r>
        <w:rPr>
          <w:rFonts w:cs="Times New Roman"/>
        </w:rPr>
        <w:tab/>
        <w:t>Title</w:t>
      </w:r>
      <w:r w:rsidR="0058371B">
        <w:rPr>
          <w:rFonts w:cs="Times New Roman"/>
        </w:rPr>
        <w:t>: abdominal</w:t>
      </w:r>
      <w:r>
        <w:rPr>
          <w:rFonts w:cs="Times New Roman"/>
        </w:rPr>
        <w:t xml:space="preserve"> aortic aneurysm</w:t>
      </w:r>
      <w:r w:rsidR="0043725B">
        <w:rPr>
          <w:rFonts w:cs="Times New Roman"/>
        </w:rPr>
        <w:t xml:space="preserve"> </w:t>
      </w:r>
      <w:r w:rsidR="0043725B" w:rsidRPr="0043725B">
        <w:rPr>
          <w:rFonts w:cs="Times New Roman"/>
          <w:szCs w:val="24"/>
          <w:shd w:val="clear" w:color="auto" w:fill="FFFFFF"/>
        </w:rPr>
        <w:t>(LeRoy et al., 2014).</w:t>
      </w:r>
    </w:p>
    <w:p w:rsidR="00937655" w:rsidRDefault="0058371B" w:rsidP="00B65DEA">
      <w:pPr>
        <w:rPr>
          <w:rFonts w:cs="Times New Roman"/>
        </w:rPr>
      </w:pPr>
      <w:r>
        <w:rPr>
          <w:rFonts w:cs="Times New Roman"/>
        </w:rPr>
        <w:t>Population: men</w:t>
      </w:r>
      <w:r w:rsidR="00937655">
        <w:rPr>
          <w:rFonts w:cs="Times New Roman"/>
        </w:rPr>
        <w:t xml:space="preserve"> ages 75 to 65 years </w:t>
      </w:r>
      <w:r>
        <w:rPr>
          <w:rFonts w:cs="Times New Roman"/>
        </w:rPr>
        <w:t>who</w:t>
      </w:r>
      <w:r w:rsidR="00937655">
        <w:rPr>
          <w:rFonts w:cs="Times New Roman"/>
        </w:rPr>
        <w:t xml:space="preserve"> have smoked</w:t>
      </w:r>
    </w:p>
    <w:p w:rsidR="00937655" w:rsidRDefault="0058371B" w:rsidP="00B65DEA">
      <w:pPr>
        <w:rPr>
          <w:rFonts w:cs="Times New Roman"/>
        </w:rPr>
      </w:pPr>
      <w:r>
        <w:rPr>
          <w:rFonts w:cs="Times New Roman"/>
        </w:rPr>
        <w:t>Recommendation: screen</w:t>
      </w:r>
      <w:r w:rsidR="00937655">
        <w:rPr>
          <w:rFonts w:cs="Times New Roman"/>
        </w:rPr>
        <w:t xml:space="preserve"> only ones for this illness with ultrasonography.</w:t>
      </w:r>
    </w:p>
    <w:p w:rsidR="00937655" w:rsidRDefault="00937655" w:rsidP="00B65DEA">
      <w:pPr>
        <w:rPr>
          <w:rFonts w:cs="Times New Roman"/>
        </w:rPr>
      </w:pPr>
      <w:r>
        <w:rPr>
          <w:rFonts w:cs="Times New Roman"/>
        </w:rPr>
        <w:tab/>
      </w:r>
      <w:r>
        <w:rPr>
          <w:rFonts w:cs="Times New Roman"/>
        </w:rPr>
        <w:tab/>
      </w:r>
      <w:r>
        <w:rPr>
          <w:rFonts w:cs="Times New Roman"/>
        </w:rPr>
        <w:tab/>
        <w:t>Grade B</w:t>
      </w:r>
    </w:p>
    <w:p w:rsidR="00937655" w:rsidRDefault="0058371B" w:rsidP="00B65DEA">
      <w:pPr>
        <w:rPr>
          <w:rFonts w:cs="Times New Roman"/>
        </w:rPr>
      </w:pPr>
      <w:r>
        <w:rPr>
          <w:rFonts w:cs="Times New Roman"/>
        </w:rPr>
        <w:t>Population: women</w:t>
      </w:r>
      <w:r w:rsidR="00937655">
        <w:rPr>
          <w:rFonts w:cs="Times New Roman"/>
        </w:rPr>
        <w:t xml:space="preserve"> ages 65 to 75 years</w:t>
      </w:r>
    </w:p>
    <w:p w:rsidR="00937655" w:rsidRDefault="0058371B" w:rsidP="00B65DEA">
      <w:pPr>
        <w:rPr>
          <w:rFonts w:cs="Times New Roman"/>
        </w:rPr>
      </w:pPr>
      <w:r>
        <w:rPr>
          <w:rFonts w:cs="Times New Roman"/>
        </w:rPr>
        <w:t>Recommendation: no</w:t>
      </w:r>
      <w:r w:rsidR="00937655">
        <w:rPr>
          <w:rFonts w:cs="Times New Roman"/>
        </w:rPr>
        <w:t xml:space="preserve"> screening needed</w:t>
      </w:r>
    </w:p>
    <w:p w:rsidR="00937655" w:rsidRDefault="00937655" w:rsidP="00B65DEA">
      <w:pPr>
        <w:rPr>
          <w:rFonts w:cs="Times New Roman"/>
        </w:rPr>
      </w:pPr>
      <w:r>
        <w:rPr>
          <w:rFonts w:cs="Times New Roman"/>
        </w:rPr>
        <w:tab/>
      </w:r>
      <w:r>
        <w:rPr>
          <w:rFonts w:cs="Times New Roman"/>
        </w:rPr>
        <w:tab/>
      </w:r>
      <w:r>
        <w:rPr>
          <w:rFonts w:cs="Times New Roman"/>
        </w:rPr>
        <w:tab/>
        <w:t>Grade D</w:t>
      </w:r>
    </w:p>
    <w:p w:rsidR="00937655" w:rsidRDefault="0058371B" w:rsidP="00B65DEA">
      <w:pPr>
        <w:rPr>
          <w:rFonts w:cs="Times New Roman"/>
        </w:rPr>
      </w:pPr>
      <w:r>
        <w:rPr>
          <w:rFonts w:cs="Times New Roman"/>
        </w:rPr>
        <w:t>Population: men</w:t>
      </w:r>
      <w:r w:rsidR="00937655">
        <w:rPr>
          <w:rFonts w:cs="Times New Roman"/>
        </w:rPr>
        <w:t xml:space="preserve"> ages 75 to 65 </w:t>
      </w:r>
      <w:r w:rsidR="000D01D1">
        <w:rPr>
          <w:rFonts w:cs="Times New Roman"/>
        </w:rPr>
        <w:t>years, non</w:t>
      </w:r>
      <w:r w:rsidR="00937655">
        <w:rPr>
          <w:rFonts w:cs="Times New Roman"/>
        </w:rPr>
        <w:t>-smokers</w:t>
      </w:r>
    </w:p>
    <w:p w:rsidR="00937655" w:rsidRDefault="00937655" w:rsidP="00B65DEA">
      <w:pPr>
        <w:rPr>
          <w:rFonts w:cs="Times New Roman"/>
        </w:rPr>
      </w:pPr>
      <w:r>
        <w:rPr>
          <w:rFonts w:cs="Times New Roman"/>
        </w:rPr>
        <w:t>Roccomendation</w:t>
      </w:r>
      <w:r w:rsidR="000D01D1">
        <w:rPr>
          <w:rFonts w:cs="Times New Roman"/>
        </w:rPr>
        <w:t>: no</w:t>
      </w:r>
      <w:r w:rsidR="00D34FB3">
        <w:rPr>
          <w:rFonts w:cs="Times New Roman"/>
        </w:rPr>
        <w:t xml:space="preserve"> commendation against screening</w:t>
      </w:r>
    </w:p>
    <w:p w:rsidR="00D34FB3" w:rsidRDefault="00D34FB3" w:rsidP="00B65DEA">
      <w:pPr>
        <w:rPr>
          <w:rFonts w:cs="Times New Roman"/>
        </w:rPr>
      </w:pPr>
      <w:r>
        <w:rPr>
          <w:rFonts w:cs="Times New Roman"/>
        </w:rPr>
        <w:tab/>
      </w:r>
      <w:r>
        <w:rPr>
          <w:rFonts w:cs="Times New Roman"/>
        </w:rPr>
        <w:tab/>
      </w:r>
      <w:r>
        <w:rPr>
          <w:rFonts w:cs="Times New Roman"/>
        </w:rPr>
        <w:tab/>
        <w:t>Grade C.</w:t>
      </w:r>
    </w:p>
    <w:p w:rsidR="00D34FB3" w:rsidRDefault="0058371B" w:rsidP="00B65DEA">
      <w:pPr>
        <w:rPr>
          <w:rFonts w:cs="Times New Roman"/>
        </w:rPr>
      </w:pPr>
      <w:r>
        <w:rPr>
          <w:rFonts w:cs="Times New Roman"/>
        </w:rPr>
        <w:t>Title: coronary</w:t>
      </w:r>
      <w:r w:rsidR="00D34FB3">
        <w:rPr>
          <w:rFonts w:cs="Times New Roman"/>
        </w:rPr>
        <w:t xml:space="preserve"> heart disea</w:t>
      </w:r>
      <w:r w:rsidR="00D34FB3" w:rsidRPr="0043725B">
        <w:rPr>
          <w:rFonts w:cs="Times New Roman"/>
          <w:szCs w:val="24"/>
        </w:rPr>
        <w:t>se</w:t>
      </w:r>
      <w:r w:rsidR="0043725B" w:rsidRPr="0043725B">
        <w:rPr>
          <w:rFonts w:cs="Times New Roman"/>
          <w:szCs w:val="24"/>
        </w:rPr>
        <w:t xml:space="preserve"> </w:t>
      </w:r>
      <w:r w:rsidR="0043725B" w:rsidRPr="0043725B">
        <w:rPr>
          <w:rFonts w:cs="Times New Roman"/>
          <w:szCs w:val="24"/>
          <w:shd w:val="clear" w:color="auto" w:fill="FFFFFF"/>
        </w:rPr>
        <w:t>(</w:t>
      </w:r>
      <w:r w:rsidR="0043725B" w:rsidRPr="0043725B">
        <w:rPr>
          <w:rStyle w:val="Emphasis"/>
          <w:rFonts w:cs="Times New Roman"/>
          <w:szCs w:val="24"/>
          <w:shd w:val="clear" w:color="auto" w:fill="FFFFFF"/>
        </w:rPr>
        <w:t>Home page | United States Preventive Services Taskforce</w:t>
      </w:r>
      <w:r w:rsidR="0043725B" w:rsidRPr="0043725B">
        <w:rPr>
          <w:rFonts w:cs="Times New Roman"/>
          <w:szCs w:val="24"/>
          <w:shd w:val="clear" w:color="auto" w:fill="FFFFFF"/>
        </w:rPr>
        <w:t>).</w:t>
      </w:r>
    </w:p>
    <w:p w:rsidR="00D34FB3" w:rsidRDefault="0058371B" w:rsidP="00B65DEA">
      <w:pPr>
        <w:rPr>
          <w:rFonts w:cs="Times New Roman"/>
        </w:rPr>
      </w:pPr>
      <w:r>
        <w:rPr>
          <w:rFonts w:cs="Times New Roman"/>
        </w:rPr>
        <w:t>Population: asymptomatic</w:t>
      </w:r>
      <w:r w:rsidR="00D34FB3">
        <w:rPr>
          <w:rFonts w:cs="Times New Roman"/>
        </w:rPr>
        <w:t xml:space="preserve"> grownups at a low risk for CHD events.</w:t>
      </w:r>
    </w:p>
    <w:p w:rsidR="00D34FB3" w:rsidRDefault="0058371B" w:rsidP="00B65DEA">
      <w:pPr>
        <w:rPr>
          <w:rFonts w:cs="Times New Roman"/>
        </w:rPr>
      </w:pPr>
      <w:r>
        <w:rPr>
          <w:rFonts w:cs="Times New Roman"/>
        </w:rPr>
        <w:t>Recommendation: do</w:t>
      </w:r>
      <w:r w:rsidR="00D34FB3">
        <w:rPr>
          <w:rFonts w:cs="Times New Roman"/>
        </w:rPr>
        <w:t xml:space="preserve"> not exercise electrocardiography or screen with resting.</w:t>
      </w:r>
    </w:p>
    <w:p w:rsidR="00D34FB3" w:rsidRDefault="00D34FB3" w:rsidP="00B65DEA">
      <w:pPr>
        <w:rPr>
          <w:rFonts w:cs="Times New Roman"/>
        </w:rPr>
      </w:pPr>
      <w:r>
        <w:rPr>
          <w:rFonts w:cs="Times New Roman"/>
        </w:rPr>
        <w:t>Population</w:t>
      </w:r>
      <w:r w:rsidR="0058371B">
        <w:rPr>
          <w:rFonts w:cs="Times New Roman"/>
        </w:rPr>
        <w:t>: amsptimatic</w:t>
      </w:r>
      <w:r>
        <w:rPr>
          <w:rFonts w:cs="Times New Roman"/>
        </w:rPr>
        <w:t xml:space="preserve"> individuals at a high risk of coronary heart disease.</w:t>
      </w:r>
    </w:p>
    <w:p w:rsidR="00D34FB3" w:rsidRDefault="00D34FB3" w:rsidP="00B65DEA">
      <w:pPr>
        <w:rPr>
          <w:rFonts w:cs="Times New Roman"/>
        </w:rPr>
      </w:pPr>
      <w:r>
        <w:rPr>
          <w:rFonts w:cs="Times New Roman"/>
        </w:rPr>
        <w:tab/>
      </w:r>
      <w:r>
        <w:rPr>
          <w:rFonts w:cs="Times New Roman"/>
        </w:rPr>
        <w:tab/>
      </w:r>
      <w:r>
        <w:rPr>
          <w:rFonts w:cs="Times New Roman"/>
        </w:rPr>
        <w:tab/>
        <w:t>Grade D.</w:t>
      </w:r>
    </w:p>
    <w:p w:rsidR="00D34FB3" w:rsidRDefault="00D34FB3" w:rsidP="00B65DEA">
      <w:pPr>
        <w:rPr>
          <w:rFonts w:cs="Times New Roman"/>
        </w:rPr>
      </w:pPr>
      <w:r>
        <w:rPr>
          <w:rFonts w:cs="Times New Roman"/>
        </w:rPr>
        <w:t>Recommendation</w:t>
      </w:r>
      <w:r w:rsidR="0058371B">
        <w:rPr>
          <w:rFonts w:cs="Times New Roman"/>
        </w:rPr>
        <w:t>: grade</w:t>
      </w:r>
      <w:r>
        <w:rPr>
          <w:rFonts w:cs="Times New Roman"/>
        </w:rPr>
        <w:t xml:space="preserve"> I as a result of insufficient evidence</w:t>
      </w:r>
    </w:p>
    <w:p w:rsidR="00D34FB3" w:rsidRDefault="00D34FB3" w:rsidP="00B65DEA">
      <w:pPr>
        <w:rPr>
          <w:rFonts w:cs="Times New Roman"/>
        </w:rPr>
      </w:pPr>
      <w:r>
        <w:rPr>
          <w:rFonts w:cs="Times New Roman"/>
        </w:rPr>
        <w:tab/>
      </w:r>
      <w:r>
        <w:rPr>
          <w:rFonts w:cs="Times New Roman"/>
        </w:rPr>
        <w:tab/>
      </w:r>
      <w:r>
        <w:rPr>
          <w:rFonts w:cs="Times New Roman"/>
        </w:rPr>
        <w:tab/>
        <w:t>No recommendation.</w:t>
      </w:r>
    </w:p>
    <w:p w:rsidR="00D34FB3" w:rsidRDefault="000D01D1" w:rsidP="00B65DEA">
      <w:pPr>
        <w:rPr>
          <w:rFonts w:cs="Times New Roman"/>
        </w:rPr>
      </w:pPr>
      <w:r>
        <w:rPr>
          <w:rFonts w:cs="Times New Roman"/>
        </w:rPr>
        <w:t>Title: high</w:t>
      </w:r>
      <w:r w:rsidR="00D34FB3">
        <w:rPr>
          <w:rFonts w:cs="Times New Roman"/>
        </w:rPr>
        <w:t xml:space="preserve"> blood pressure</w:t>
      </w:r>
    </w:p>
    <w:p w:rsidR="00D34FB3" w:rsidRDefault="000D01D1" w:rsidP="00B65DEA">
      <w:pPr>
        <w:rPr>
          <w:rFonts w:cs="Times New Roman"/>
        </w:rPr>
      </w:pPr>
      <w:r>
        <w:rPr>
          <w:rFonts w:cs="Times New Roman"/>
        </w:rPr>
        <w:t>Population: general</w:t>
      </w:r>
      <w:r w:rsidR="0058371B">
        <w:rPr>
          <w:rFonts w:cs="Times New Roman"/>
        </w:rPr>
        <w:t xml:space="preserve"> adult population</w:t>
      </w:r>
    </w:p>
    <w:p w:rsidR="0058371B" w:rsidRDefault="0058371B" w:rsidP="00B65DEA">
      <w:pPr>
        <w:rPr>
          <w:rFonts w:cs="Times New Roman"/>
        </w:rPr>
      </w:pPr>
      <w:r>
        <w:rPr>
          <w:rFonts w:cs="Times New Roman"/>
        </w:rPr>
        <w:t>Recommendation: screen for high blood pressure</w:t>
      </w:r>
    </w:p>
    <w:p w:rsidR="0058371B" w:rsidRDefault="0058371B" w:rsidP="00B65DEA">
      <w:pPr>
        <w:rPr>
          <w:rFonts w:cs="Times New Roman"/>
        </w:rPr>
      </w:pPr>
      <w:r>
        <w:rPr>
          <w:rFonts w:cs="Times New Roman"/>
        </w:rPr>
        <w:tab/>
      </w:r>
      <w:r>
        <w:rPr>
          <w:rFonts w:cs="Times New Roman"/>
        </w:rPr>
        <w:tab/>
      </w:r>
      <w:r>
        <w:rPr>
          <w:rFonts w:cs="Times New Roman"/>
        </w:rPr>
        <w:tab/>
        <w:t>Grade A</w:t>
      </w:r>
    </w:p>
    <w:p w:rsidR="0058371B" w:rsidRDefault="000D01D1" w:rsidP="00B65DEA">
      <w:pPr>
        <w:rPr>
          <w:rFonts w:cs="Times New Roman"/>
        </w:rPr>
      </w:pPr>
      <w:r>
        <w:rPr>
          <w:rFonts w:cs="Times New Roman"/>
        </w:rPr>
        <w:t>Title: high</w:t>
      </w:r>
      <w:r w:rsidR="0058371B">
        <w:rPr>
          <w:rFonts w:cs="Times New Roman"/>
        </w:rPr>
        <w:t xml:space="preserve"> blood pressure in children</w:t>
      </w:r>
    </w:p>
    <w:p w:rsidR="0058371B" w:rsidRDefault="000D01D1" w:rsidP="00B65DEA">
      <w:pPr>
        <w:rPr>
          <w:rFonts w:cs="Times New Roman"/>
        </w:rPr>
      </w:pPr>
      <w:r>
        <w:rPr>
          <w:rFonts w:cs="Times New Roman"/>
        </w:rPr>
        <w:t>Population: adolescent</w:t>
      </w:r>
      <w:r w:rsidR="0058371B">
        <w:rPr>
          <w:rFonts w:cs="Times New Roman"/>
        </w:rPr>
        <w:t xml:space="preserve"> and children without symptoms of hypertension.</w:t>
      </w:r>
    </w:p>
    <w:p w:rsidR="0058371B" w:rsidRDefault="0058371B" w:rsidP="00B65DEA">
      <w:pPr>
        <w:rPr>
          <w:rFonts w:cs="Times New Roman"/>
        </w:rPr>
      </w:pPr>
      <w:r>
        <w:rPr>
          <w:rFonts w:cs="Times New Roman"/>
        </w:rPr>
        <w:t>Recommendation</w:t>
      </w:r>
      <w:r w:rsidR="000D01D1">
        <w:rPr>
          <w:rFonts w:cs="Times New Roman"/>
        </w:rPr>
        <w:t>: Grade: I</w:t>
      </w:r>
      <w:r>
        <w:rPr>
          <w:rFonts w:cs="Times New Roman"/>
        </w:rPr>
        <w:t xml:space="preserve"> (insufficient evidence)</w:t>
      </w:r>
    </w:p>
    <w:p w:rsidR="0058371B" w:rsidRDefault="0058371B" w:rsidP="00B65DEA">
      <w:pPr>
        <w:rPr>
          <w:rFonts w:cs="Times New Roman"/>
        </w:rPr>
      </w:pPr>
      <w:r>
        <w:rPr>
          <w:rFonts w:cs="Times New Roman"/>
        </w:rPr>
        <w:tab/>
      </w:r>
      <w:r>
        <w:rPr>
          <w:rFonts w:cs="Times New Roman"/>
        </w:rPr>
        <w:tab/>
      </w:r>
      <w:r>
        <w:rPr>
          <w:rFonts w:cs="Times New Roman"/>
        </w:rPr>
        <w:tab/>
      </w:r>
      <w:r w:rsidR="000D01D1">
        <w:rPr>
          <w:rFonts w:cs="Times New Roman"/>
        </w:rPr>
        <w:t>: No</w:t>
      </w:r>
      <w:r>
        <w:rPr>
          <w:rFonts w:cs="Times New Roman"/>
        </w:rPr>
        <w:t xml:space="preserve"> recommendation.</w:t>
      </w:r>
    </w:p>
    <w:p w:rsidR="0058371B" w:rsidRDefault="0058371B" w:rsidP="00B65DEA">
      <w:pPr>
        <w:rPr>
          <w:rFonts w:cs="Times New Roman"/>
        </w:rPr>
      </w:pPr>
    </w:p>
    <w:p w:rsidR="00D34FB3" w:rsidRDefault="00D34FB3" w:rsidP="00B65DEA">
      <w:pPr>
        <w:rPr>
          <w:rFonts w:cs="Times New Roman"/>
        </w:rPr>
      </w:pPr>
    </w:p>
    <w:p w:rsidR="00D34FB3" w:rsidRDefault="00D34FB3" w:rsidP="00B65DEA">
      <w:pPr>
        <w:rPr>
          <w:rFonts w:cs="Times New Roman"/>
        </w:rPr>
      </w:pPr>
    </w:p>
    <w:p w:rsidR="00D34FB3" w:rsidRDefault="00D34FB3" w:rsidP="00B65DEA">
      <w:pPr>
        <w:rPr>
          <w:rFonts w:cs="Times New Roman"/>
        </w:rPr>
      </w:pPr>
    </w:p>
    <w:p w:rsidR="0043725B" w:rsidRDefault="0043725B" w:rsidP="00B65DEA">
      <w:pPr>
        <w:rPr>
          <w:rFonts w:cs="Times New Roman"/>
        </w:rPr>
      </w:pPr>
    </w:p>
    <w:p w:rsidR="0043725B" w:rsidRDefault="0043725B" w:rsidP="00B65DEA">
      <w:pPr>
        <w:rPr>
          <w:rFonts w:cs="Times New Roman"/>
        </w:rPr>
      </w:pPr>
    </w:p>
    <w:p w:rsidR="0043725B" w:rsidRPr="0043725B" w:rsidRDefault="0043725B" w:rsidP="0043725B">
      <w:pPr>
        <w:shd w:val="clear" w:color="auto" w:fill="FFFFFF"/>
        <w:jc w:val="center"/>
        <w:rPr>
          <w:rFonts w:cs="Times New Roman"/>
          <w:szCs w:val="24"/>
        </w:rPr>
      </w:pPr>
      <w:r w:rsidRPr="0043725B">
        <w:rPr>
          <w:rFonts w:cs="Times New Roman"/>
          <w:szCs w:val="24"/>
        </w:rPr>
        <w:t>References</w:t>
      </w:r>
    </w:p>
    <w:p w:rsidR="0043725B" w:rsidRPr="0043725B" w:rsidRDefault="0043725B" w:rsidP="0043725B">
      <w:pPr>
        <w:pStyle w:val="NormalWeb"/>
        <w:shd w:val="clear" w:color="auto" w:fill="FFFFFF"/>
        <w:spacing w:before="0" w:beforeAutospacing="0" w:after="0" w:afterAutospacing="0" w:line="550" w:lineRule="atLeast"/>
        <w:ind w:left="720" w:right="75" w:hanging="720"/>
      </w:pPr>
      <w:r w:rsidRPr="0043725B">
        <w:t>Gonzales, R., Anderer, T., McCulloch, C. E., Maselli, J. H., Bloom, F. J., Graf, T. R., Stahl, M., Yefko, M., Molecavage, J., &amp; Metlay, J. P. (2013). undefined. </w:t>
      </w:r>
      <w:r w:rsidRPr="0043725B">
        <w:rPr>
          <w:rStyle w:val="Emphasis"/>
        </w:rPr>
        <w:t>JAMA Internal Medicine</w:t>
      </w:r>
      <w:r w:rsidRPr="0043725B">
        <w:t>, </w:t>
      </w:r>
      <w:r w:rsidRPr="0043725B">
        <w:rPr>
          <w:rStyle w:val="Emphasis"/>
        </w:rPr>
        <w:t>173</w:t>
      </w:r>
      <w:r w:rsidRPr="0043725B">
        <w:t>(4), 267. </w:t>
      </w:r>
      <w:hyperlink r:id="rId8" w:history="1">
        <w:r w:rsidRPr="0043725B">
          <w:rPr>
            <w:rStyle w:val="Hyperlink"/>
            <w:color w:val="auto"/>
          </w:rPr>
          <w:t>https://doi.org/10.1001/jamainternmed.2013.1589</w:t>
        </w:r>
      </w:hyperlink>
    </w:p>
    <w:p w:rsidR="0043725B" w:rsidRPr="0043725B" w:rsidRDefault="0043725B" w:rsidP="0043725B">
      <w:pPr>
        <w:pStyle w:val="NormalWeb"/>
        <w:shd w:val="clear" w:color="auto" w:fill="FFFFFF"/>
        <w:spacing w:before="0" w:beforeAutospacing="0" w:after="0" w:afterAutospacing="0" w:line="550" w:lineRule="atLeast"/>
        <w:ind w:left="720" w:right="75" w:hanging="720"/>
      </w:pPr>
      <w:r w:rsidRPr="0043725B">
        <w:t>(n.d.). Home page | United States Preventive Services Taskforce. </w:t>
      </w:r>
      <w:hyperlink r:id="rId9" w:history="1">
        <w:r w:rsidRPr="0043725B">
          <w:rPr>
            <w:rStyle w:val="Hyperlink"/>
            <w:color w:val="auto"/>
          </w:rPr>
          <w:t>https://www.uspreventiveservicestaskforce.org/</w:t>
        </w:r>
      </w:hyperlink>
    </w:p>
    <w:p w:rsidR="0043725B" w:rsidRPr="0043725B" w:rsidRDefault="0043725B" w:rsidP="0043725B">
      <w:pPr>
        <w:pStyle w:val="NormalWeb"/>
        <w:shd w:val="clear" w:color="auto" w:fill="FFFFFF"/>
        <w:spacing w:before="0" w:beforeAutospacing="0" w:after="0" w:afterAutospacing="0" w:line="550" w:lineRule="atLeast"/>
        <w:ind w:left="720" w:right="75" w:hanging="720"/>
      </w:pPr>
      <w:r w:rsidRPr="0043725B">
        <w:t>LeRoy, L., Bayliss, E., Domino, M., Miller, B. F., Rust, G., Gerteis, J., &amp; Miller, T. (2014). The Agency for Healthcare Research and Quality multiple chronic conditions research network. </w:t>
      </w:r>
      <w:r w:rsidRPr="0043725B">
        <w:rPr>
          <w:rStyle w:val="Emphasis"/>
        </w:rPr>
        <w:t>Medical Care</w:t>
      </w:r>
      <w:r w:rsidRPr="0043725B">
        <w:t>, </w:t>
      </w:r>
      <w:r w:rsidRPr="0043725B">
        <w:rPr>
          <w:rStyle w:val="Emphasis"/>
        </w:rPr>
        <w:t>52</w:t>
      </w:r>
      <w:r w:rsidRPr="0043725B">
        <w:t>, S15-S22. </w:t>
      </w:r>
      <w:hyperlink r:id="rId10" w:history="1">
        <w:r w:rsidRPr="0043725B">
          <w:rPr>
            <w:rStyle w:val="Hyperlink"/>
            <w:color w:val="auto"/>
          </w:rPr>
          <w:t>https://doi.org/10.1097/mlr.0000000000000095</w:t>
        </w:r>
      </w:hyperlink>
    </w:p>
    <w:p w:rsidR="0043725B" w:rsidRPr="0043725B" w:rsidRDefault="0043725B" w:rsidP="0043725B">
      <w:pPr>
        <w:pStyle w:val="NormalWeb"/>
        <w:shd w:val="clear" w:color="auto" w:fill="FFFFFF"/>
        <w:spacing w:before="0" w:beforeAutospacing="0" w:after="0" w:afterAutospacing="0" w:line="550" w:lineRule="atLeast"/>
        <w:ind w:left="720" w:right="75" w:hanging="720"/>
      </w:pPr>
      <w:r w:rsidRPr="0043725B">
        <w:t>Wei, X. (2015). Educational interventions on reducing antibiotic over-prescribing among children with upper respiratory infections (URIs) and acute bronchitis. </w:t>
      </w:r>
      <w:r w:rsidRPr="0043725B">
        <w:rPr>
          <w:rStyle w:val="Emphasis"/>
        </w:rPr>
        <w:t>http://isrctn.com/</w:t>
      </w:r>
      <w:r w:rsidRPr="0043725B">
        <w:t>. </w:t>
      </w:r>
      <w:hyperlink r:id="rId11" w:history="1">
        <w:r w:rsidRPr="0043725B">
          <w:rPr>
            <w:rStyle w:val="Hyperlink"/>
            <w:color w:val="auto"/>
          </w:rPr>
          <w:t>https://doi.org/10.1186/isrctn14340536</w:t>
        </w:r>
      </w:hyperlink>
    </w:p>
    <w:p w:rsidR="0043725B" w:rsidRPr="0043725B" w:rsidRDefault="0043725B" w:rsidP="00B65DEA">
      <w:pPr>
        <w:rPr>
          <w:rFonts w:cs="Times New Roman"/>
          <w:szCs w:val="24"/>
        </w:rPr>
      </w:pPr>
    </w:p>
    <w:p w:rsidR="00D34FB3" w:rsidRPr="0043725B" w:rsidRDefault="00D34FB3" w:rsidP="00B65DEA">
      <w:pPr>
        <w:rPr>
          <w:rFonts w:cs="Times New Roman"/>
          <w:szCs w:val="24"/>
        </w:rPr>
      </w:pPr>
    </w:p>
    <w:p w:rsidR="00D34FB3" w:rsidRPr="0043725B" w:rsidRDefault="00D34FB3" w:rsidP="00B65DEA">
      <w:pPr>
        <w:rPr>
          <w:rFonts w:cs="Times New Roman"/>
          <w:szCs w:val="24"/>
        </w:rPr>
      </w:pPr>
    </w:p>
    <w:sectPr w:rsidR="00D34FB3" w:rsidRPr="0043725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6544" w:rsidRDefault="00036544" w:rsidP="0051382C">
      <w:pPr>
        <w:spacing w:after="0" w:line="240" w:lineRule="auto"/>
      </w:pPr>
      <w:r>
        <w:separator/>
      </w:r>
    </w:p>
  </w:endnote>
  <w:endnote w:type="continuationSeparator" w:id="0">
    <w:p w:rsidR="00036544" w:rsidRDefault="00036544" w:rsidP="0051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6544" w:rsidRDefault="00036544" w:rsidP="0051382C">
      <w:pPr>
        <w:spacing w:after="0" w:line="240" w:lineRule="auto"/>
      </w:pPr>
      <w:r>
        <w:separator/>
      </w:r>
    </w:p>
  </w:footnote>
  <w:footnote w:type="continuationSeparator" w:id="0">
    <w:p w:rsidR="00036544" w:rsidRDefault="00036544" w:rsidP="00513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67255"/>
      <w:docPartObj>
        <w:docPartGallery w:val="Page Numbers (Top of Page)"/>
        <w:docPartUnique/>
      </w:docPartObj>
    </w:sdtPr>
    <w:sdtEndPr>
      <w:rPr>
        <w:noProof/>
      </w:rPr>
    </w:sdtEndPr>
    <w:sdtContent>
      <w:p w:rsidR="0051382C" w:rsidRDefault="0051382C">
        <w:pPr>
          <w:pStyle w:val="Header"/>
          <w:jc w:val="right"/>
        </w:pPr>
        <w:r>
          <w:fldChar w:fldCharType="begin"/>
        </w:r>
        <w:r>
          <w:instrText xml:space="preserve"> PAGE   \* MERGEFORMAT </w:instrText>
        </w:r>
        <w:r>
          <w:fldChar w:fldCharType="separate"/>
        </w:r>
        <w:r w:rsidR="0043725B">
          <w:rPr>
            <w:noProof/>
          </w:rPr>
          <w:t>7</w:t>
        </w:r>
        <w:r>
          <w:rPr>
            <w:noProof/>
          </w:rPr>
          <w:fldChar w:fldCharType="end"/>
        </w:r>
      </w:p>
    </w:sdtContent>
  </w:sdt>
  <w:p w:rsidR="0051382C" w:rsidRDefault="00513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71A2C"/>
    <w:multiLevelType w:val="hybridMultilevel"/>
    <w:tmpl w:val="87B80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2C"/>
    <w:rsid w:val="00036544"/>
    <w:rsid w:val="000D01D1"/>
    <w:rsid w:val="001C4CD1"/>
    <w:rsid w:val="002853EC"/>
    <w:rsid w:val="002C072D"/>
    <w:rsid w:val="00323F97"/>
    <w:rsid w:val="00341DD9"/>
    <w:rsid w:val="0043725B"/>
    <w:rsid w:val="004B2BD7"/>
    <w:rsid w:val="0051382C"/>
    <w:rsid w:val="00580561"/>
    <w:rsid w:val="0058371B"/>
    <w:rsid w:val="0065481F"/>
    <w:rsid w:val="006A3A6E"/>
    <w:rsid w:val="007148BA"/>
    <w:rsid w:val="00724E60"/>
    <w:rsid w:val="00741AE7"/>
    <w:rsid w:val="007A3E1E"/>
    <w:rsid w:val="00842E78"/>
    <w:rsid w:val="008B629B"/>
    <w:rsid w:val="008E2C11"/>
    <w:rsid w:val="0090295D"/>
    <w:rsid w:val="00937655"/>
    <w:rsid w:val="00B00F3D"/>
    <w:rsid w:val="00B65DEA"/>
    <w:rsid w:val="00B72BCF"/>
    <w:rsid w:val="00B83CC8"/>
    <w:rsid w:val="00BA7EAB"/>
    <w:rsid w:val="00C57AE3"/>
    <w:rsid w:val="00C85F17"/>
    <w:rsid w:val="00CA212C"/>
    <w:rsid w:val="00D34FB3"/>
    <w:rsid w:val="00EA341E"/>
    <w:rsid w:val="00FB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95D5F-BD8C-4DB8-8047-A4DB7C77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82C"/>
  </w:style>
  <w:style w:type="paragraph" w:styleId="Footer">
    <w:name w:val="footer"/>
    <w:basedOn w:val="Normal"/>
    <w:link w:val="FooterChar"/>
    <w:uiPriority w:val="99"/>
    <w:unhideWhenUsed/>
    <w:rsid w:val="0051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82C"/>
  </w:style>
  <w:style w:type="paragraph" w:styleId="NormalWeb">
    <w:name w:val="Normal (Web)"/>
    <w:basedOn w:val="Normal"/>
    <w:uiPriority w:val="99"/>
    <w:semiHidden/>
    <w:unhideWhenUsed/>
    <w:rsid w:val="0051382C"/>
    <w:pPr>
      <w:spacing w:before="100" w:beforeAutospacing="1" w:after="100" w:afterAutospacing="1" w:line="240" w:lineRule="auto"/>
    </w:pPr>
    <w:rPr>
      <w:rFonts w:cs="Times New Roman"/>
      <w:szCs w:val="24"/>
    </w:rPr>
  </w:style>
  <w:style w:type="paragraph" w:styleId="ListParagraph">
    <w:name w:val="List Paragraph"/>
    <w:basedOn w:val="Normal"/>
    <w:uiPriority w:val="34"/>
    <w:qFormat/>
    <w:rsid w:val="00EA341E"/>
    <w:pPr>
      <w:ind w:left="720" w:firstLine="720"/>
      <w:contextualSpacing/>
    </w:pPr>
  </w:style>
  <w:style w:type="character" w:styleId="Hyperlink">
    <w:name w:val="Hyperlink"/>
    <w:basedOn w:val="DefaultParagraphFont"/>
    <w:uiPriority w:val="99"/>
    <w:semiHidden/>
    <w:unhideWhenUsed/>
    <w:rsid w:val="00C85F17"/>
    <w:rPr>
      <w:color w:val="0000FF"/>
      <w:u w:val="single"/>
    </w:rPr>
  </w:style>
  <w:style w:type="character" w:customStyle="1" w:styleId="mceitemhiddenspellword">
    <w:name w:val="mceitemhiddenspellword"/>
    <w:basedOn w:val="DefaultParagraphFont"/>
    <w:rsid w:val="00C85F17"/>
  </w:style>
  <w:style w:type="character" w:styleId="FollowedHyperlink">
    <w:name w:val="FollowedHyperlink"/>
    <w:basedOn w:val="DefaultParagraphFont"/>
    <w:uiPriority w:val="99"/>
    <w:semiHidden/>
    <w:unhideWhenUsed/>
    <w:rsid w:val="00C85F17"/>
    <w:rPr>
      <w:color w:val="954F72" w:themeColor="followedHyperlink"/>
      <w:u w:val="single"/>
    </w:rPr>
  </w:style>
  <w:style w:type="character" w:customStyle="1" w:styleId="gray">
    <w:name w:val="gray"/>
    <w:basedOn w:val="DefaultParagraphFont"/>
    <w:rsid w:val="0043725B"/>
  </w:style>
  <w:style w:type="character" w:styleId="Emphasis">
    <w:name w:val="Emphasis"/>
    <w:basedOn w:val="DefaultParagraphFont"/>
    <w:uiPriority w:val="20"/>
    <w:qFormat/>
    <w:rsid w:val="00437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7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internmed.2013.1589"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cms.gov/" TargetMode="Externa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186/isrctn14340536" TargetMode="External" /><Relationship Id="rId5" Type="http://schemas.openxmlformats.org/officeDocument/2006/relationships/footnotes" Target="footnotes.xml" /><Relationship Id="rId10" Type="http://schemas.openxmlformats.org/officeDocument/2006/relationships/hyperlink" Target="https://doi.org/10.1097/mlr.0000000000000095" TargetMode="External" /><Relationship Id="rId4" Type="http://schemas.openxmlformats.org/officeDocument/2006/relationships/webSettings" Target="webSettings.xml" /><Relationship Id="rId9" Type="http://schemas.openxmlformats.org/officeDocument/2006/relationships/hyperlink" Target="https://www.uspreventiveservicestaskforce.org/"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SATELITE</dc:creator>
  <cp:keywords/>
  <dc:description/>
  <cp:lastModifiedBy>nyoike31@gmail.com</cp:lastModifiedBy>
  <cp:revision>2</cp:revision>
  <dcterms:created xsi:type="dcterms:W3CDTF">2021-02-22T18:41:00Z</dcterms:created>
  <dcterms:modified xsi:type="dcterms:W3CDTF">2021-02-22T18:41:00Z</dcterms:modified>
</cp:coreProperties>
</file>